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2016/307 vom 29. Oktober 2018</w:t>
      </w:r>
    </w:p>
    <w:p>
      <w:r>
        <w:t>Sg Versicherungsgericht, 2018-10-29, DE</w:t>
      </w:r>
    </w:p>
    <w:p>
      <w:r>
        <w:rPr>
          <w:b/>
        </w:rPr>
        <w:t xml:space="preserve">Quelle: </w:t>
      </w:r>
      <w:r>
        <w:t>https://mcp.opencaselaw.ch/entscheid/sg_publikationen_IV 2016_307</w:t>
      </w:r>
    </w:p>
    <w:p>
      <w:r>
        <w:t>FR: SG_VERSICHERUNGSGERICHT IV 2016/307 du 29 octobre 2018</w:t>
      </w:r>
    </w:p>
    <w:p>
      <w:r>
        <w:t>IT: SG_VERSICHERUNGSGERICHT IV 2016/307 del 29 ottobre 2018</w:t>
      </w:r>
    </w:p>
    <w:p>
      <w:pPr>
        <w:pStyle w:val="Heading2"/>
      </w:pPr>
      <w:r>
        <w:t>Regeste</w:t>
      </w:r>
    </w:p>
    <w:p>
      <w:r>
        <w:t>Art. 42ter Abs. 3 IVG. Art. 39 Abs. 3 IVV. Art. 42quater Abs. 3 IVG. Art. 39a IVV. Intensivpflegezuschlag. Überwachungspauschale. Abgrenzung zwischen dauernder und besonders intensiver Überwachung in Bezug auf ein Kleinkind. Assistenzbeitrag für Minderjährige. Das im Art. 39a lit. c IVV enthaltene Kriterium des Bezuges eines Intensivpflegezuschlages ist gesetzwidrig. Ein Bezug eines Intensivpflegezuschlages berechtigt einen Minderjährigen nicht zum Bezug eines Assistenzbeitrages (Entscheid des Versicherungsgerichts des Kantons St. Gallen vom 29. Oktober 2018, IV 2016/307). Aufgehoben durch Urteil des Bundesgerichts 8C_9/2019.</w:t>
      </w:r>
    </w:p>
    <w:p>
      <w:pPr>
        <w:pStyle w:val="Heading2"/>
      </w:pPr>
      <w:r>
        <w:t>Erwägungen</w:t>
      </w:r>
    </w:p>
    <w:p>
      <w:r>
        <w:rPr>
          <w:b/>
        </w:rPr>
        <w:t>E. 1</w:t>
      </w:r>
    </w:p>
    <w:p>
      <w:r>
        <w:t>Die beiden angefochtenen Verfügungen vom 28. Juli 2016 betreffen zwei verschiedene Rechtsverhältnisse. Da sich die Anspruchsvoraussetzungen aber teilweise überschneiden, besteht ein enger sachlicher Zusammenhang zwischen den beiden Rechtsverhältnissen. Dieser rechtfertigt eine Vereinigung der Beschwerdeverfahren. Das bedeutet allerdings nicht, dass dieser Beschwerdeentscheid nur gesamthaft angefochten werden könnte. Vielmehr steht es den Parteien auch frei, den Entscheid nur bezüglich des Intensivpflegezuschlages zur Hilflosenentschädigung oder aber nur bezüglich des Assistenzbeitrages mit einer Beschwerde in öffentlich-rechtlichen Angelegenheiten beim Bundesgericht anzufechten. Diesem Umstand wird mit einer strikten Trennung der beiden Teilentscheide und der jeweiligen Kosten- und Entschädigungsfolgen im Dispositiv Rechnung getragen.</w:t>
      </w:r>
    </w:p>
    <w:p>
      <w:r>
        <w:rPr>
          <w:b/>
        </w:rPr>
        <w:t>E. 2</w:t>
      </w:r>
    </w:p>
    <w:p>
      <w:r>
        <w:t>Laut dem Art. 42quater Abs. 1 IVG haben zuhause lebende volljährige Bezüger einer Hilflosenentschädigung einen Anspruch auf einen Assistenzbeitrag. Bei diesem Assistenzbeitrag handelt es sich um eine im Rahmen der IVG-Revision 6a eingeführte Leistung mit dem zentralen Zweck der Erhöhung der Selbstbestimmung und Eigenverantwortung von Menschen mit einer Behinderung. Diese sollen möglichst weitgehend selber bestimmen können, wer ihnen wann, wo und wie die notwendige Hilfe leistet für Handlungen des täglichen Lebens, die sie aufgrund einer Behinderung nicht selbständig durchführen können (vgl. die Botschaft des Bundesrates vom 24. Februar 2010 zur IVG-Revision 6a, BBl 2010 1835). Aus den Abs. 2 und 3 des Art. 42quater IVG ergibt sich ein impliziter Auftrag des Gesetzgebers an den Verordnungsgeber, einerseits festzulegen, wie stark die Handlungsfähigkeit einer erwachsenen Person, die eine Hilflosenentschädigung bezieht, eingeschränkt sein muss, bis es keinen Sinn mehr ergibt, ihre Selbstbestimmung und Eigenverantwortung durch ein (assistiertes) selbständiges Wohnen zu fördern. Andererseits sollte der Verordnungsgeber festlegen, wie weit sich die Handlungsfähigkeit eines Minderjährigen bereits entwickelt haben muss, damit es Sinn ergibt, dessen Selbstbestimmung und Eigenverantwortung durch die Ermöglichung des assistierten selbständigen Wohnens zu fördern. Der Fokus richtet sich dabei auf ein bestimmtes Mass an Selbständigkeit. In Bezug auf Minderjährige hat der Verordnungsgeber im Art. 39a IVV drei spezifische Voraussetzungen angeführt, unter denen Minderjährige einen Anspruch auf einen Assistenzbeitrag haben sollen: a) Den regelmässigen Besuch einer Regelkasse in der obligatorischen Schule oder die Absolvierung einer Berufsausbildung auf dem regulären Arbeitsmarkt oder einer anderen Ausbildung auf der Sekundarstufe II; b) die Ausübung einer Erwerbstätigkeit auf dem regulären Arbeitsmarkt während mindestens zehn Stunden pro Woche; c) die Ausrichtung eines Intensivpflegezuschlages für einen Pflege- und Überwachungsbedarf von mindestens sechs Stunden pro Tag. Während die beiden ersten – hier augenscheinlich irrelevanten – Kriterien (Art. 39a lit. a und b IVV) einen Zusammenhang mit dem gesetzgeberischen Auftrag an den Verordnungsgeber aufweisen, die Voraussetzungen zu definieren, unter denen ein Minderjähriger als ausreichend handlungsfähig respektive selbständig gilt, um einen Assistenzbeitrag beziehen zu können, ist in Bezug auf den Art. 39a lit. c IVV kein solcher Zusammenhang ersichtlich. Der Umstand, dass eine versicherte Person einen Intensivpflegezuschlag bei einem behinderungsbedingten täglichen Mehraufwand von mindestens sechs Stunden bezieht, spricht nicht für eine die Zusprache eines Assistenzbeitrags rechtfertigende ausreichende Handlungsfähigkeit beziehungsweise Selbständigkeit dieser Person, sondern belegt im Gegenteil, dass der betroffene Minderjährige in einem besonders weitgehenden Mass unselbständig ist. In seinen Erläuterungen zur entsprechenden Verordnungsänderung vom 1. März 2012 (zu finden auf der Website des BSV &lt;https://www.bsv.admin.ch/&gt; unter „Sozialversicherungen“, „Invalidenversicherung IV“, „Grundlagen &amp; Gesetze“, „Gesetze &amp; Verordnungen“, im unteren Bereich der Seite; aufgerufen am 30. Oktober 2018) hat das Bundesamt für Sozialversicherungen dazu festgehalten: „Um die Eltern von Kindern mit einem Intensivpflegezuschlag zu entlasten und damit besser zu ermöglichen, dass ihre Kinder zuhause wohnen können, soll in diesen Fällen ebenfalls ein Anspruch auf einen Assistenzbeitrag bestehen“ (S. 14). Hierbei scheint es sich also um eine sozial motivierte finanzielle Unterstützung zugunsten jener Minderjährigen zu handeln, die in einem besonders schweren Ausmass hilflos sind. Möglicherweise wollte der Verordnungsgeber damit eine gesetzliche Leistungslücke beseitigen, die schon im Zusammenhang mit der vierten IVG-Revision Anlass zu Diskussionen gegeben hatte (vgl. die Botschaft des Bundesrates zur vierten IVG-Revision vom 21. Februar 2001, BBl 2001 3231 und 3244 f.). Eine solche Unterstützung ist aber im gesetzgeberischen Auftrag, die Voraussetzungen zu definieren, unter denen ein Minderjähriger als ausreichend handlungsfähig respektive selbständig gilt, um einen Assistenzbeitrag beziehen zu können, nicht enthalten gewesen. Mit anderen Worten hat der Verordnungsgeber mit der Schaffung des Art. 39a lit. c IVV den im gesetzgeberischen Auftrag enthaltenen Kompetenzrahmen überschritten. Der Art. 39a lit. c IVV beruht also nicht auf einer ausreichenden gesetzlichen Grundlage, das heisst er ist gesetzwidrig. Folglich kann der Beschwerdeführer unabhängig davon, ob er einen Anspruch auf einen Intensivpflegezuschlag bei einem täglichen behinderungsbedingten Mehraufwand von über sechs Stunden hat, jedenfalls keinen Anspruch auf einen Assistenzbeitrag haben.</w:t>
      </w:r>
    </w:p>
    <w:p>
      <w:r>
        <w:rPr>
          <w:b/>
        </w:rPr>
        <w:t>E. 3</w:t>
      </w:r>
    </w:p>
    <w:p>
      <w:r>
        <w:t>3.1  Laut dem Art. 42ter Abs. 3 IVG wird die Hilflosenentschädigung für Minderjährige, die zusätzlich eine intensive Betreuung brauchen, um einen Intensivpflegezuschlag erhöht, der bei einem invaliditätsbedingten Betreuungsaufwand von mindestens acht Stunden pro Tag 60 Prozent (seit dem 1. Januar 2018: 100 Prozent), bei einem solchen von mindestens sechs Stunden pro Tag 40 Prozent (seit dem 1. Januar 2018: 70 Prozent) und bei einem solchen von mindestens vier Stunden pro Tag 20 Prozent (seit dem 1. Januar 2018: 40 Prozent) des Höchstbetrages der Altersrente gemäss dem Art. 34 Abs. 3 und 5 AHVG entspricht. Als Betreuungsaufwand ist nur der Mehrbedarf an (nicht-medizinischer) Behandlungs- und Grundpflege im Vergleich zu nicht behinderten Minderjährigen gleichen Alters anrechenbar (Art. 39 Abs. 2 Satz 1 IVV). Der Zeitaufwand für ärztlich verordnete medizinische Massnahmen ist nicht anrechenbar (Art. 39 Abs. 2 Satz 2 IVV), denn dieser wird unter dem Titel der medizinischen Massnahmen (vgl. Art. 14 IVG) vergütet. Benötigt eine minderjährige Person aufgrund ihrer Gesundheitsbeeinträchtigung eine dauernde Überwachung, kann diese als Betreuung von zwei Stunden angerechnet werden; eine besonders intensive behinderungsbedingte Überwachung ist als Betreuung von vier Stunden anrechenbar (Art. 39 Abs. 3 IVV). 3.2  Das Bundesamt für Sozialversicherungen hat in seinem Kreisschreiben über die Invalidität und die Hilflosigkeit in der Invalidenversicherung (KSIH) festgehalten, dass eine besonders intensive Überwachung im Sinne des Art. 39 Abs. 3 IVV vorliege, wenn von der Betreuungsperson eine überdurchschnittlich hohe Aufmerksamkeit und eine ständige Interventionsbereitschaft gefordert werde (Rz. 8079 KSIH). Als Beispiele hat es ein autistisches Kind und ein an einer schweren Form einer Epilepsie leidendes Kind angeführt. Bei beiden Beispielen spielt die ständige Lebensgefahr, in der sich die Kinder befinden, eine grosse Rolle (vgl. Rz. 8079 KSIH). Diese Interpretation überzeugt, denn sowohl eine dauernde als auch eine besonders intensive Überwachung erfordern grundsätzlich rund um die Uhr eine Interventionsbereitschaft der überwachenden Betreuungsperson. Der für die Bemessung des Aufwandes der Betreuungsperson massgebende Unterschied kann nur darin bestehen, wie rasch diese auf einen Zwischenfall muss reagieren können. Bereits bei einer „bloss“ dauernden Überwachung muss eine Betreuungsperson innert Minuten auf einen Notfall reagieren können. Eine besonders intensive Überwachung erfordert dagegen eine sekundenschnelle Reaktion, was nicht gewährleistet ist, wenn die Betreuungsperson den Zustand der versicherten Person nur alle paar Minuten mittels eines Überwachungsgerätes kontrolliert. Sie muss sich vielmehr ständig in der unmittelbaren Nähe der hilflosen Person aufhalten. 3.3  Der Beschwerdeführer benötigt eine Überwachung, die das Mass der gewöhnlichen Überwachung für einen gesunden Gleichaltrigen deutlich übersteigt. Gemäss den überzeugenden Angaben der Eltern verheddert er sich immer wieder in den Kabeln der Geräte, an die er ununterbrochen angeschlossen sein muss und die er an einem „Christbaum“ ständig hinter sich her zieht. Zudem spielt er mit den Geräten, wobei unter anderem die Gefahr besteht, dass er sich die Trachealkanüle aus dem Hals zieht. Gemäss den weitgehend übereinstimmenden und überzeugenden Ausführungen der Dres. D.___ und E.___ muss bei einer Entfernung der Magen- oder der Dünndarmsonde möglichst rasch, aber nicht innerhalb von wenigen Sekunden reagiert werden. Für das Wiedereinlegen der Sonden stehen mehrere Stunden Reaktionszeit zur Verfügung. Allerdings muss die Entfernung der Sonden möglichst vermieden werden, da das Wiedereinlegen sehr aufwendig und äusserst belastend für den Organismus ist. Bezüglich der Sonden ist folglich eine ständige, aber nicht eine besonders intensive Überwachung erforderlich. Anders verhält es sich in Bezug auf die Trachealkanüle. Wenn diese entfernt wird, stehen zwar bestenfalls mehrere Minuten zur Verfügung, um sie wieder anzulegen. Der RAD-Arzt Dr. E.___ hat aber darauf hingewiesen, dass schon innerhalb der ersten Minute ein lebensbedrohlicher Atemstillstand eintreten könne. Schlimmstenfalls steht einer Überwachungsperson also maximal eine Minute zur Verfügung, um das Entfernen der Kanüle zu bemerken und um diese wieder einzusetzen. Das bedeutet, dass bei einer Entfernung der Trachealkanüle in Sekundenschnelle reagiert werden muss. Der RAD-Arzt Dr. E.___ hat deshalb überzeugend festgehalten, dass eine engmaschige Überwachung unumgänglich sei. Die Intensität der Überwachung entspricht mit anderen Worten jener, wie sie in den Beispielen in der Rz. 8079 KSIH beschrieben ist. Das bedeutet, dass ein besonders intensiver Überwachungsbedarf besteht, weshalb eine Überwachungspauschale von vier Stunden anzurechnen ist. Damit erweist sich die angefochtene Verfügung vom 28. Juli 2016 betreffend den Intensivpflegezuschlag als rechtswidrig. Sie ist aufzuheben und dem Beschwerdeführer sind für die Zeit ab dem 7. Januar 2016 eine Entschädigung bei einer schweren Hilflosigkeit und ein Intensivpflegezuschlag bei einem Betreuungsaufwand von mindestens sechs Stunden pro Tag zuzusprechen. Die Sache ist diesbezüglich zur Festsetzung der entsprechenden Beträge an die Beschwerdegegnerin zurückzuweisen.</w:t>
      </w:r>
    </w:p>
    <w:p>
      <w:r>
        <w:rPr>
          <w:b/>
        </w:rPr>
        <w:t>E. 4</w:t>
      </w:r>
    </w:p>
    <w:p>
      <w:r>
        <w:t>Die Beschwerdegegnerin hat den übrigen Teil der Gerichtskosten, nämlich ebenfalls 300 Franken zu bezahlen.</w:t>
      </w:r>
    </w:p>
    <w:p>
      <w:r>
        <w:rPr>
          <w:b/>
        </w:rPr>
        <w:t>E. 5</w:t>
      </w:r>
    </w:p>
    <w:p>
      <w:r>
        <w:t>Die Beschwerdegegnerin hat die Rechnung von Dr. D.___ vom 3.7.2017 im Betrag von 50 Franken für den Bericht vom 7. September 2016 zu bezahlen.</w:t>
      </w:r>
    </w:p>
    <w:p>
      <w:r>
        <w:rPr>
          <w:b/>
        </w:rPr>
        <w:t>E. 6</w:t>
      </w:r>
    </w:p>
    <w:p>
      <w:r>
        <w:t>Die Beschwerdegegnerin hat den Beschwerdeführer mit 1’750 Franken zu entschädigen.</w:t>
      </w:r>
    </w:p>
    <w:p>
      <w:r>
        <w:rPr>
          <w:b/>
        </w:rPr>
        <w:t>E. 7</w:t>
      </w:r>
    </w:p>
    <w:p>
      <w:r>
        <w:t>Bezüglich jenes Teils des Verfahrens, der sich auf die Verfügung vom 28. Juli 2016 betreffend den Assistenzbeitrag bezogen hat, hat der Beschwerdeführer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